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4106"/>
        <w:gridCol w:w="4384"/>
      </w:tblGrid>
      <w:tr w:rsidR="000D2485" w:rsidRPr="009326B7" w:rsidTr="00A2341E">
        <w:tc>
          <w:tcPr>
            <w:tcW w:w="855" w:type="dxa"/>
          </w:tcPr>
          <w:p w:rsidR="0099248D" w:rsidRPr="009326B7" w:rsidRDefault="0099248D" w:rsidP="00DA6C0E">
            <w:pPr>
              <w:jc w:val="center"/>
              <w:rPr>
                <w:b/>
              </w:rPr>
            </w:pPr>
            <w:bookmarkStart w:id="0" w:name="_GoBack"/>
            <w:bookmarkEnd w:id="0"/>
            <w:r w:rsidRPr="009326B7">
              <w:rPr>
                <w:b/>
              </w:rPr>
              <w:t>№</w:t>
            </w:r>
          </w:p>
        </w:tc>
        <w:tc>
          <w:tcPr>
            <w:tcW w:w="4111" w:type="dxa"/>
          </w:tcPr>
          <w:p w:rsidR="0099248D" w:rsidRPr="009326B7" w:rsidRDefault="0099248D" w:rsidP="00DA6C0E">
            <w:pPr>
              <w:jc w:val="center"/>
              <w:rPr>
                <w:b/>
              </w:rPr>
            </w:pPr>
            <w:r w:rsidRPr="009326B7">
              <w:rPr>
                <w:b/>
              </w:rPr>
              <w:t>Вопрос</w:t>
            </w:r>
          </w:p>
        </w:tc>
        <w:tc>
          <w:tcPr>
            <w:tcW w:w="4388" w:type="dxa"/>
          </w:tcPr>
          <w:p w:rsidR="0099248D" w:rsidRPr="009326B7" w:rsidRDefault="0099248D" w:rsidP="00DA6C0E">
            <w:pPr>
              <w:jc w:val="center"/>
              <w:rPr>
                <w:b/>
              </w:rPr>
            </w:pPr>
            <w:r w:rsidRPr="009326B7">
              <w:rPr>
                <w:b/>
              </w:rPr>
              <w:t>Ответ</w:t>
            </w:r>
          </w:p>
        </w:tc>
      </w:tr>
      <w:tr w:rsidR="000D2485" w:rsidRPr="009326B7" w:rsidTr="00A2341E">
        <w:tc>
          <w:tcPr>
            <w:tcW w:w="855" w:type="dxa"/>
          </w:tcPr>
          <w:p w:rsidR="00B04B77" w:rsidRPr="009326B7" w:rsidRDefault="00B04B77" w:rsidP="00B04B7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B04B77" w:rsidRPr="009326B7" w:rsidRDefault="00B04B77" w:rsidP="00B04B77">
            <w:r w:rsidRPr="009326B7">
              <w:t>Какой срок рассмотрения дел?</w:t>
            </w:r>
          </w:p>
        </w:tc>
        <w:tc>
          <w:tcPr>
            <w:tcW w:w="4388" w:type="dxa"/>
          </w:tcPr>
          <w:p w:rsidR="00B04B77" w:rsidRPr="009326B7" w:rsidRDefault="004F094A" w:rsidP="00E5717A">
            <w:pPr>
              <w:rPr>
                <w:b/>
              </w:rPr>
            </w:pPr>
            <w:r w:rsidRPr="009326B7">
              <w:t>Срок рассмотрения дела и принятия решения не превышает 30 дней</w:t>
            </w:r>
            <w:r w:rsidR="00B04B77" w:rsidRPr="009326B7">
              <w:t>. Как правило, еще 45 дней может уйти н</w:t>
            </w:r>
            <w:r w:rsidRPr="009326B7">
              <w:t>а получение</w:t>
            </w:r>
            <w:r w:rsidR="00E5717A" w:rsidRPr="009326B7">
              <w:t xml:space="preserve"> исполнительного листа.</w:t>
            </w:r>
          </w:p>
        </w:tc>
      </w:tr>
      <w:tr w:rsidR="000D2485" w:rsidRPr="009326B7" w:rsidTr="0010344F">
        <w:tc>
          <w:tcPr>
            <w:tcW w:w="855" w:type="dxa"/>
          </w:tcPr>
          <w:p w:rsidR="000D2485" w:rsidRPr="009326B7" w:rsidRDefault="000D2485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0D2485" w:rsidRPr="009326B7" w:rsidRDefault="000D2485" w:rsidP="0010344F">
            <w:r w:rsidRPr="009326B7">
              <w:t>Уплачивается ли госпошлина?</w:t>
            </w:r>
          </w:p>
        </w:tc>
        <w:tc>
          <w:tcPr>
            <w:tcW w:w="4388" w:type="dxa"/>
          </w:tcPr>
          <w:p w:rsidR="000D2485" w:rsidRPr="009326B7" w:rsidRDefault="000D2485" w:rsidP="0010344F">
            <w:r w:rsidRPr="009326B7">
              <w:t>Уплачивается регистрационный и арбитражный сборы</w:t>
            </w:r>
          </w:p>
        </w:tc>
      </w:tr>
      <w:tr w:rsidR="000D2485" w:rsidRPr="009326B7" w:rsidTr="0010344F">
        <w:tc>
          <w:tcPr>
            <w:tcW w:w="855" w:type="dxa"/>
          </w:tcPr>
          <w:p w:rsidR="000D2485" w:rsidRPr="009326B7" w:rsidRDefault="000D2485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0D2485" w:rsidRPr="009326B7" w:rsidRDefault="000D2485" w:rsidP="0010344F">
            <w:r w:rsidRPr="009326B7">
              <w:t>Какой размер сборов?</w:t>
            </w:r>
          </w:p>
        </w:tc>
        <w:tc>
          <w:tcPr>
            <w:tcW w:w="4388" w:type="dxa"/>
          </w:tcPr>
          <w:p w:rsidR="000D2485" w:rsidRPr="009326B7" w:rsidRDefault="000D2485" w:rsidP="0010344F">
            <w:r w:rsidRPr="009326B7">
              <w:t>Регистрационный сбор – 20 тысяч рублей (при арбитраже внутренних споров) и 30 тысяч рублей (при международном арбитраже). Размер арбитражного сбора определяе</w:t>
            </w:r>
            <w:r w:rsidR="00E5717A" w:rsidRPr="009326B7">
              <w:t>тся в зависимости от цены иска</w:t>
            </w:r>
          </w:p>
        </w:tc>
      </w:tr>
      <w:tr w:rsidR="00E5717A" w:rsidRPr="009326B7" w:rsidTr="0010344F">
        <w:tc>
          <w:tcPr>
            <w:tcW w:w="855" w:type="dxa"/>
          </w:tcPr>
          <w:p w:rsidR="00E5717A" w:rsidRPr="009326B7" w:rsidRDefault="00E5717A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E5717A" w:rsidRPr="009326B7" w:rsidRDefault="00E5717A" w:rsidP="0010344F">
            <w:r w:rsidRPr="009326B7">
              <w:t>Может ли арбитражный сбор быть уменьшен?</w:t>
            </w:r>
          </w:p>
        </w:tc>
        <w:tc>
          <w:tcPr>
            <w:tcW w:w="4388" w:type="dxa"/>
          </w:tcPr>
          <w:p w:rsidR="00E5717A" w:rsidRPr="009326B7" w:rsidRDefault="00E5717A" w:rsidP="00E5717A">
            <w:r w:rsidRPr="009326B7">
              <w:t xml:space="preserve">В соответствии с п.6 </w:t>
            </w:r>
            <w:proofErr w:type="spellStart"/>
            <w:r w:rsidRPr="009326B7">
              <w:t>ст</w:t>
            </w:r>
            <w:proofErr w:type="spellEnd"/>
            <w:r w:rsidRPr="009326B7">
              <w:t xml:space="preserve"> 4. Положения о сборах и расходах Арбитражного центра при РСПП, с учетом обстоятельств дела, арбитражный сбор может быть уменьшен.</w:t>
            </w:r>
          </w:p>
          <w:p w:rsidR="00E5717A" w:rsidRPr="009326B7" w:rsidRDefault="00E5717A" w:rsidP="00E5717A">
            <w:r w:rsidRPr="009326B7">
              <w:t>Арбитражный сбор может быть уменьшен на 30%, если:</w:t>
            </w:r>
          </w:p>
          <w:p w:rsidR="00E5717A" w:rsidRPr="009326B7" w:rsidRDefault="00E5717A" w:rsidP="00E5717A">
            <w:pPr>
              <w:rPr>
                <w:rFonts w:cs="Helvetica"/>
                <w:shd w:val="clear" w:color="auto" w:fill="FFFFFF"/>
              </w:rPr>
            </w:pPr>
            <w:r w:rsidRPr="009326B7">
              <w:t xml:space="preserve">1) </w:t>
            </w:r>
            <w:r w:rsidRPr="009326B7">
              <w:rPr>
                <w:rFonts w:cs="Helvetica"/>
                <w:shd w:val="clear" w:color="auto" w:fill="FFFFFF"/>
              </w:rPr>
              <w:t>арбитраж осуществляется на основе письменных материалов без проведения устного слушания дела;</w:t>
            </w:r>
          </w:p>
          <w:p w:rsidR="00E5717A" w:rsidRPr="009326B7" w:rsidRDefault="00E5717A" w:rsidP="00E5717A">
            <w:pPr>
              <w:rPr>
                <w:rFonts w:cs="Helvetica"/>
                <w:shd w:val="clear" w:color="auto" w:fill="FFFFFF"/>
              </w:rPr>
            </w:pPr>
            <w:r w:rsidRPr="009326B7">
              <w:rPr>
                <w:rFonts w:cs="Helvetica"/>
                <w:shd w:val="clear" w:color="auto" w:fill="FFFFFF"/>
              </w:rPr>
              <w:t>2) арбитраж прекращается на том основании, что стороны заключили мировое соглашение, при этом по делу было проведено не более одного устного слушания дела;</w:t>
            </w:r>
          </w:p>
          <w:p w:rsidR="00E5717A" w:rsidRPr="009326B7" w:rsidRDefault="00E5717A" w:rsidP="00E5717A">
            <w:pPr>
              <w:rPr>
                <w:rFonts w:cs="Helvetica"/>
                <w:shd w:val="clear" w:color="auto" w:fill="FFFFFF"/>
              </w:rPr>
            </w:pPr>
            <w:r w:rsidRPr="009326B7">
              <w:rPr>
                <w:rFonts w:cs="Helvetica"/>
                <w:shd w:val="clear" w:color="auto" w:fill="FFFFFF"/>
              </w:rPr>
              <w:t>3) арбитраж прекращается вынесением постановления об отсутствии у третейского суда компетенции рассматривать переданный на его разрешение спор.</w:t>
            </w:r>
          </w:p>
          <w:p w:rsidR="00E5717A" w:rsidRPr="009326B7" w:rsidRDefault="00E5717A" w:rsidP="00E5717A">
            <w:r w:rsidRPr="009326B7">
              <w:rPr>
                <w:rFonts w:cs="Helvetica"/>
                <w:shd w:val="clear" w:color="auto" w:fill="FFFFFF"/>
              </w:rPr>
              <w:t>Арбитражный сбор уменьшается на 50 %, если по делу было проведено не более одного устного слушания дела, при этом арбитраж прекращается на том основании, что:</w:t>
            </w:r>
            <w:r w:rsidRPr="009326B7">
              <w:rPr>
                <w:rFonts w:cs="Helvetica"/>
              </w:rPr>
              <w:br/>
            </w:r>
            <w:r w:rsidRPr="009326B7">
              <w:rPr>
                <w:rFonts w:cs="Helvetica"/>
                <w:shd w:val="clear" w:color="auto" w:fill="FFFFFF"/>
              </w:rPr>
              <w:t>1) третейским судом принят отказ истца от иска;</w:t>
            </w:r>
            <w:r w:rsidRPr="009326B7">
              <w:rPr>
                <w:rFonts w:cs="Helvetica"/>
              </w:rPr>
              <w:br/>
            </w:r>
            <w:r w:rsidRPr="009326B7">
              <w:rPr>
                <w:rFonts w:cs="Helvetica"/>
                <w:shd w:val="clear" w:color="auto" w:fill="FFFFFF"/>
              </w:rPr>
              <w:t>2) стороны заключили соглашение о прекращении арбитража.</w:t>
            </w:r>
          </w:p>
        </w:tc>
      </w:tr>
      <w:tr w:rsidR="000D2485" w:rsidRPr="009326B7" w:rsidTr="0010344F">
        <w:tc>
          <w:tcPr>
            <w:tcW w:w="855" w:type="dxa"/>
          </w:tcPr>
          <w:p w:rsidR="000D2485" w:rsidRPr="009326B7" w:rsidRDefault="000D2485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0D2485" w:rsidRPr="009326B7" w:rsidRDefault="000D2485" w:rsidP="0010344F">
            <w:r w:rsidRPr="009326B7">
              <w:t>Где территориально проводятся судебные заседания и можно ли в них участвовать дистанционно?</w:t>
            </w:r>
          </w:p>
        </w:tc>
        <w:tc>
          <w:tcPr>
            <w:tcW w:w="4388" w:type="dxa"/>
          </w:tcPr>
          <w:p w:rsidR="000D2485" w:rsidRPr="009326B7" w:rsidRDefault="000D2485" w:rsidP="0010344F">
            <w:r w:rsidRPr="009326B7">
              <w:t xml:space="preserve">Судебные заседания проводятся в Москве (115093, г. </w:t>
            </w:r>
            <w:proofErr w:type="gramStart"/>
            <w:r w:rsidRPr="009326B7">
              <w:t>Москва,</w:t>
            </w:r>
            <w:r w:rsidRPr="009326B7">
              <w:br/>
              <w:t>ул.</w:t>
            </w:r>
            <w:proofErr w:type="gramEnd"/>
            <w:r w:rsidRPr="009326B7">
              <w:t xml:space="preserve"> Большая Серпуховская, д. 60А). </w:t>
            </w:r>
          </w:p>
          <w:p w:rsidR="000D2485" w:rsidRPr="009326B7" w:rsidRDefault="000D2485" w:rsidP="0010344F">
            <w:r w:rsidRPr="009326B7">
              <w:t>Участие в них дистанционно возможно, посредством видео-</w:t>
            </w:r>
            <w:proofErr w:type="spellStart"/>
            <w:r w:rsidRPr="009326B7">
              <w:t>конференц</w:t>
            </w:r>
            <w:proofErr w:type="spellEnd"/>
            <w:r w:rsidRPr="009326B7">
              <w:t xml:space="preserve"> связи</w:t>
            </w:r>
          </w:p>
        </w:tc>
      </w:tr>
      <w:tr w:rsidR="000D2485" w:rsidRPr="009326B7" w:rsidTr="0010344F">
        <w:tc>
          <w:tcPr>
            <w:tcW w:w="855" w:type="dxa"/>
          </w:tcPr>
          <w:p w:rsidR="000D2485" w:rsidRPr="009326B7" w:rsidRDefault="000D2485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0D2485" w:rsidRPr="009326B7" w:rsidRDefault="000D2485" w:rsidP="0010344F">
            <w:r w:rsidRPr="009326B7">
              <w:t>Обязательно ли принимать участие в заседаниях?</w:t>
            </w:r>
          </w:p>
        </w:tc>
        <w:tc>
          <w:tcPr>
            <w:tcW w:w="4388" w:type="dxa"/>
          </w:tcPr>
          <w:p w:rsidR="000D2485" w:rsidRPr="009326B7" w:rsidRDefault="000D2485" w:rsidP="0010344F">
            <w:r w:rsidRPr="009326B7">
              <w:t>Не обязательно.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Правилами арбитража предусмотрено, что третейское заседание может происходить: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- дистанционно, посредством видео-</w:t>
            </w:r>
            <w:proofErr w:type="spellStart"/>
            <w:r w:rsidRPr="009326B7">
              <w:rPr>
                <w:rFonts w:ascii="Calibri" w:eastAsia="Calibri" w:hAnsi="Calibri" w:cs="Times New Roman"/>
              </w:rPr>
              <w:t>конференц</w:t>
            </w:r>
            <w:proofErr w:type="spellEnd"/>
            <w:r w:rsidRPr="009326B7">
              <w:rPr>
                <w:rFonts w:ascii="Calibri" w:eastAsia="Calibri" w:hAnsi="Calibri" w:cs="Times New Roman"/>
              </w:rPr>
              <w:t xml:space="preserve"> связи (ВКС);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- в отсутствии сторон;</w:t>
            </w:r>
          </w:p>
          <w:p w:rsidR="000D2485" w:rsidRPr="009326B7" w:rsidRDefault="000D2485" w:rsidP="00E5717A">
            <w:r w:rsidRPr="009326B7">
              <w:rPr>
                <w:rFonts w:ascii="Calibri" w:eastAsia="Calibri" w:hAnsi="Calibri" w:cs="Times New Roman"/>
              </w:rPr>
              <w:t>- в отсутствии письменных материалов, на основании устного изложения сторонами своей позиции</w:t>
            </w:r>
          </w:p>
        </w:tc>
      </w:tr>
      <w:tr w:rsidR="000D2485" w:rsidRPr="009326B7" w:rsidTr="0010344F">
        <w:tc>
          <w:tcPr>
            <w:tcW w:w="855" w:type="dxa"/>
          </w:tcPr>
          <w:p w:rsidR="000D2485" w:rsidRPr="009326B7" w:rsidRDefault="000D2485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0D2485" w:rsidRPr="009326B7" w:rsidRDefault="000D2485" w:rsidP="0010344F">
            <w:r w:rsidRPr="009326B7">
              <w:t>Как может быть оформлена третейская оговорка?</w:t>
            </w:r>
          </w:p>
        </w:tc>
        <w:tc>
          <w:tcPr>
            <w:tcW w:w="4388" w:type="dxa"/>
          </w:tcPr>
          <w:p w:rsidR="000D2485" w:rsidRPr="009326B7" w:rsidRDefault="000D2485" w:rsidP="0010344F">
            <w:r w:rsidRPr="009326B7">
              <w:t>1) она может быть включена в проект договора (на этапе заключения);</w:t>
            </w:r>
          </w:p>
          <w:p w:rsidR="000D2485" w:rsidRPr="009326B7" w:rsidRDefault="000D2485" w:rsidP="0010344F">
            <w:r w:rsidRPr="009326B7">
              <w:t>2) может быть заключено арбитражное соглашение (при наличии уже существующего спора в арбитражном суде);</w:t>
            </w:r>
          </w:p>
          <w:p w:rsidR="000D2485" w:rsidRPr="009326B7" w:rsidRDefault="000D2485" w:rsidP="0010344F">
            <w:r w:rsidRPr="009326B7">
              <w:t>3) может быть заключено дополнительное соглашение к уже существующим договорам</w:t>
            </w:r>
          </w:p>
          <w:p w:rsidR="00C0798F" w:rsidRPr="009326B7" w:rsidRDefault="00E5717A" w:rsidP="0010344F">
            <w:r w:rsidRPr="009326B7">
              <w:t>При необходимости,</w:t>
            </w:r>
            <w:r w:rsidR="00C0798F" w:rsidRPr="009326B7">
              <w:t xml:space="preserve"> текст третейск</w:t>
            </w:r>
            <w:r w:rsidRPr="009326B7">
              <w:t>ой оговорки может быть предоставлен</w:t>
            </w:r>
          </w:p>
        </w:tc>
      </w:tr>
      <w:tr w:rsidR="00875B81" w:rsidRPr="009326B7" w:rsidTr="0010344F">
        <w:tc>
          <w:tcPr>
            <w:tcW w:w="855" w:type="dxa"/>
          </w:tcPr>
          <w:p w:rsidR="00875B81" w:rsidRPr="009326B7" w:rsidRDefault="00875B81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875B81" w:rsidRPr="009326B7" w:rsidRDefault="00353FD6" w:rsidP="0010344F">
            <w:r w:rsidRPr="009326B7">
              <w:t>Существуют ли альтернативные способы заключения арбитражного соглашения?</w:t>
            </w:r>
          </w:p>
        </w:tc>
        <w:tc>
          <w:tcPr>
            <w:tcW w:w="4388" w:type="dxa"/>
          </w:tcPr>
          <w:p w:rsidR="00875B81" w:rsidRPr="009326B7" w:rsidRDefault="00875B81" w:rsidP="0010344F">
            <w:r w:rsidRPr="009326B7">
              <w:t>Арбитражное соглашение может быть заключено путем обмена электронными документами, передаваемыми по каналам связи, по</w:t>
            </w:r>
            <w:r w:rsidR="00353FD6" w:rsidRPr="009326B7">
              <w:t>зволяющим достоверно установить</w:t>
            </w:r>
            <w:r w:rsidRPr="009326B7">
              <w:t>, что документ исходит от другой стороны</w:t>
            </w:r>
            <w:r w:rsidR="00353FD6" w:rsidRPr="009326B7">
              <w:t>. Также, арбитражное соглашение может быть заключено путем обмена письмами, телеграммами, телексами, телефаксами и иными документами, в том числе процессуальными документами</w:t>
            </w:r>
            <w:r w:rsidR="00A31FD3" w:rsidRPr="009326B7">
              <w:t xml:space="preserve"> (иск, отзыв)</w:t>
            </w:r>
            <w:r w:rsidR="00353FD6" w:rsidRPr="009326B7">
              <w:t>, в которых одна из сторон заявляет о наличии соглашения, а другая против этого не возражает.</w:t>
            </w:r>
          </w:p>
        </w:tc>
      </w:tr>
      <w:tr w:rsidR="00BE1059" w:rsidRPr="009326B7" w:rsidTr="0010344F">
        <w:tc>
          <w:tcPr>
            <w:tcW w:w="855" w:type="dxa"/>
          </w:tcPr>
          <w:p w:rsidR="00BE1059" w:rsidRPr="009326B7" w:rsidRDefault="00BE1059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BE1059" w:rsidRPr="009326B7" w:rsidRDefault="00BE1059" w:rsidP="00A31FD3">
            <w:r w:rsidRPr="009326B7">
              <w:t>Можно ли</w:t>
            </w:r>
            <w:r w:rsidR="00A31FD3" w:rsidRPr="009326B7">
              <w:t xml:space="preserve"> одновременно</w:t>
            </w:r>
            <w:r w:rsidRPr="009326B7">
              <w:t xml:space="preserve"> предусмотреть возможность обращения</w:t>
            </w:r>
            <w:r w:rsidR="00A31FD3" w:rsidRPr="009326B7">
              <w:t xml:space="preserve"> стороны в третейский или государственный суд?</w:t>
            </w:r>
          </w:p>
        </w:tc>
        <w:tc>
          <w:tcPr>
            <w:tcW w:w="4388" w:type="dxa"/>
          </w:tcPr>
          <w:p w:rsidR="00BE1059" w:rsidRPr="009326B7" w:rsidRDefault="00A31FD3" w:rsidP="00A31FD3">
            <w:r w:rsidRPr="009326B7">
              <w:t>Законодательство РФ допускает заключение соглашения о разрешении споров, предусматривающего право истца обратиться по своему усмотрению в третейский или государственный суд</w:t>
            </w:r>
            <w:r w:rsidR="00D61905" w:rsidRPr="009326B7">
              <w:t>.</w:t>
            </w:r>
          </w:p>
        </w:tc>
      </w:tr>
      <w:tr w:rsidR="000D2485" w:rsidRPr="009326B7" w:rsidTr="0010344F">
        <w:tc>
          <w:tcPr>
            <w:tcW w:w="855" w:type="dxa"/>
          </w:tcPr>
          <w:p w:rsidR="000D2485" w:rsidRPr="009326B7" w:rsidRDefault="000D2485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0D2485" w:rsidRPr="009326B7" w:rsidRDefault="000D2485" w:rsidP="0010344F">
            <w:r w:rsidRPr="009326B7">
              <w:t>Каким образом происходит документооборот между сторонами и Коллегией?</w:t>
            </w:r>
          </w:p>
        </w:tc>
        <w:tc>
          <w:tcPr>
            <w:tcW w:w="4388" w:type="dxa"/>
          </w:tcPr>
          <w:p w:rsidR="000D2485" w:rsidRPr="009326B7" w:rsidRDefault="000D2485" w:rsidP="0010344F">
            <w:r w:rsidRPr="009326B7">
              <w:t xml:space="preserve">Посредством почтовых отправлений, экспресс-почты и электронной почты. </w:t>
            </w:r>
          </w:p>
        </w:tc>
      </w:tr>
      <w:tr w:rsidR="000D2485" w:rsidRPr="009326B7" w:rsidTr="0010344F">
        <w:tc>
          <w:tcPr>
            <w:tcW w:w="855" w:type="dxa"/>
          </w:tcPr>
          <w:p w:rsidR="000D2485" w:rsidRPr="009326B7" w:rsidRDefault="000D2485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0D2485" w:rsidRPr="009326B7" w:rsidRDefault="000D2485" w:rsidP="0010344F">
            <w:r w:rsidRPr="009326B7">
              <w:t>На кого ложатся судебные расходы?</w:t>
            </w:r>
          </w:p>
        </w:tc>
        <w:tc>
          <w:tcPr>
            <w:tcW w:w="4388" w:type="dxa"/>
          </w:tcPr>
          <w:p w:rsidR="000D2485" w:rsidRPr="009326B7" w:rsidRDefault="000D2485" w:rsidP="0010344F">
            <w:r w:rsidRPr="009326B7">
              <w:t>На проигравшую сторону. Третейский суд имеет право взыскать судебные расходы, издержки, неустойку, пени и т.д. в полном объеме</w:t>
            </w:r>
          </w:p>
        </w:tc>
      </w:tr>
      <w:tr w:rsidR="000D2485" w:rsidRPr="009326B7" w:rsidTr="0010344F">
        <w:tc>
          <w:tcPr>
            <w:tcW w:w="855" w:type="dxa"/>
          </w:tcPr>
          <w:p w:rsidR="000D2485" w:rsidRPr="009326B7" w:rsidRDefault="000D2485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0D2485" w:rsidRPr="009326B7" w:rsidRDefault="000D2485" w:rsidP="0010344F">
            <w:r w:rsidRPr="009326B7">
              <w:t>Какие споры не рассматривает третейский суд?</w:t>
            </w:r>
          </w:p>
        </w:tc>
        <w:tc>
          <w:tcPr>
            <w:tcW w:w="4388" w:type="dxa"/>
          </w:tcPr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Не могут</w:t>
            </w:r>
            <w:r w:rsidR="00102D7F" w:rsidRPr="009326B7">
              <w:rPr>
                <w:rFonts w:ascii="Calibri" w:eastAsia="Calibri" w:hAnsi="Calibri" w:cs="Times New Roman"/>
              </w:rPr>
              <w:t xml:space="preserve"> быть переданы на рассмотрение Т</w:t>
            </w:r>
            <w:r w:rsidRPr="009326B7">
              <w:rPr>
                <w:rFonts w:ascii="Calibri" w:eastAsia="Calibri" w:hAnsi="Calibri" w:cs="Times New Roman"/>
              </w:rPr>
              <w:t>ретейского суда только: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- споры, возникающие из семейных отношений;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- споры, возникающие из трудовых отношений;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- споры, возникающие из наследственных отношений;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- споры о приватизации государственного и муниципального имущества;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- споры о возмещении вреда, причиненного жизни и здоровью;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- споры о выселении граждан из жилых помещений;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- споры, возникающие из отношений, связанных с возмещением вреда, причиненного окружающей среде;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lastRenderedPageBreak/>
              <w:t>- споры о банкротстве;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- споры об отказе в государственной регистрации;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- споры о защите интеллектуальных прав;</w:t>
            </w:r>
          </w:p>
          <w:p w:rsidR="000D2485" w:rsidRPr="009326B7" w:rsidRDefault="000D2485" w:rsidP="0010344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 xml:space="preserve">- споры, возникающие из административных и иных публичных правоотношений; </w:t>
            </w:r>
          </w:p>
          <w:p w:rsidR="000D2485" w:rsidRPr="009326B7" w:rsidRDefault="000D2485" w:rsidP="00102D7F">
            <w:pPr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- дела особого производства, указанные в статье 262 ГПК РФ.</w:t>
            </w:r>
          </w:p>
        </w:tc>
      </w:tr>
      <w:tr w:rsidR="00B04B77" w:rsidRPr="009326B7" w:rsidTr="00A2341E">
        <w:tc>
          <w:tcPr>
            <w:tcW w:w="855" w:type="dxa"/>
          </w:tcPr>
          <w:p w:rsidR="00B04B77" w:rsidRPr="009326B7" w:rsidRDefault="00B04B77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B04B77" w:rsidRPr="009326B7" w:rsidRDefault="00B04B77" w:rsidP="00B04B77">
            <w:r w:rsidRPr="009326B7">
              <w:t>Взыскивает ли Третейский суд установленные догов</w:t>
            </w:r>
            <w:r w:rsidR="006002A2" w:rsidRPr="009326B7">
              <w:t>ором санкции и судебные расходы</w:t>
            </w:r>
            <w:r w:rsidRPr="009326B7">
              <w:t>?</w:t>
            </w:r>
          </w:p>
        </w:tc>
        <w:tc>
          <w:tcPr>
            <w:tcW w:w="4388" w:type="dxa"/>
          </w:tcPr>
          <w:p w:rsidR="00B04B77" w:rsidRPr="009326B7" w:rsidRDefault="00E5717A" w:rsidP="00B04B77">
            <w:r w:rsidRPr="009326B7">
              <w:t>В отличие от государственных судов, необоснованно снижающих установленные договором пени и штрафы, Третейский суд признает приоритет договорных условий и взыскивает санкции в полном объеме.</w:t>
            </w:r>
          </w:p>
          <w:p w:rsidR="00E5717A" w:rsidRPr="009326B7" w:rsidRDefault="00E5717A" w:rsidP="00B04B77">
            <w:r w:rsidRPr="009326B7">
              <w:t>Расходы по оплате услуг представит</w:t>
            </w:r>
            <w:r w:rsidR="006002A2" w:rsidRPr="009326B7">
              <w:t>еля в пользу выигравшей стороны,</w:t>
            </w:r>
            <w:r w:rsidRPr="009326B7">
              <w:t xml:space="preserve"> </w:t>
            </w:r>
            <w:r w:rsidR="006002A2" w:rsidRPr="009326B7">
              <w:t>а</w:t>
            </w:r>
            <w:r w:rsidRPr="009326B7">
              <w:t xml:space="preserve"> также иные расходы, связанные с третейским разбирательством, взыскиваются, в отличие от государственных судов, в адекватном, а не заниженном размере, полностью соответствующем фактически произведенным расходам</w:t>
            </w:r>
          </w:p>
        </w:tc>
      </w:tr>
      <w:tr w:rsidR="00B04B77" w:rsidRPr="009326B7" w:rsidTr="00A2341E">
        <w:tc>
          <w:tcPr>
            <w:tcW w:w="855" w:type="dxa"/>
          </w:tcPr>
          <w:p w:rsidR="00B04B77" w:rsidRPr="009326B7" w:rsidRDefault="00B04B77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B04B77" w:rsidRPr="009326B7" w:rsidRDefault="00B04B77" w:rsidP="00B04B77">
            <w:r w:rsidRPr="009326B7">
              <w:t>Имеют ли решения Третейского суда такую же силу, как и решения государственных судов?</w:t>
            </w:r>
          </w:p>
        </w:tc>
        <w:tc>
          <w:tcPr>
            <w:tcW w:w="4388" w:type="dxa"/>
          </w:tcPr>
          <w:p w:rsidR="00B04B77" w:rsidRPr="009326B7" w:rsidRDefault="00102D7F" w:rsidP="00B04B77">
            <w:r w:rsidRPr="009326B7">
              <w:t>Решения</w:t>
            </w:r>
            <w:r w:rsidR="00B04B77" w:rsidRPr="009326B7">
              <w:t xml:space="preserve"> Т</w:t>
            </w:r>
            <w:r w:rsidRPr="009326B7">
              <w:t>ретейского суда обязательны</w:t>
            </w:r>
            <w:r w:rsidR="00B04B77" w:rsidRPr="009326B7">
              <w:t xml:space="preserve"> для сторон наравне с решениями государственных (арбитражных) </w:t>
            </w:r>
            <w:r w:rsidRPr="009326B7">
              <w:t>судов и приводя</w:t>
            </w:r>
            <w:r w:rsidR="00B04B77" w:rsidRPr="009326B7">
              <w:t>тся в исполнение через процедуру получения исполнительного листа и предъявления его к исполнению</w:t>
            </w:r>
          </w:p>
        </w:tc>
      </w:tr>
      <w:tr w:rsidR="000D2485" w:rsidRPr="009326B7" w:rsidTr="00A2341E">
        <w:tc>
          <w:tcPr>
            <w:tcW w:w="855" w:type="dxa"/>
          </w:tcPr>
          <w:p w:rsidR="0099248D" w:rsidRPr="009326B7" w:rsidRDefault="0099248D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99248D" w:rsidRPr="009326B7" w:rsidRDefault="0099248D" w:rsidP="0099248D">
            <w:r w:rsidRPr="009326B7">
              <w:t>Являются ли решения Третейского суда окончательными и не подлежащими оспариванию?</w:t>
            </w:r>
          </w:p>
        </w:tc>
        <w:tc>
          <w:tcPr>
            <w:tcW w:w="4388" w:type="dxa"/>
          </w:tcPr>
          <w:p w:rsidR="0099248D" w:rsidRPr="009326B7" w:rsidRDefault="00B04B77" w:rsidP="00B17E31">
            <w:r w:rsidRPr="009326B7">
              <w:t xml:space="preserve">Арбитражное соглашение, содержащее указание на окончательность решения </w:t>
            </w:r>
            <w:r w:rsidR="00102D7F" w:rsidRPr="009326B7">
              <w:t>Т</w:t>
            </w:r>
            <w:r w:rsidRPr="009326B7">
              <w:t>ретейского суда, исключает возможность оспаривания такого решения в каком-либо ином суде. У ответчика нет возможности умышленно затянуть процесс рассмотрение спора для отдаления оплаты долга или выведения средств/имущества, на которые может быть обращено взыскание</w:t>
            </w:r>
          </w:p>
        </w:tc>
      </w:tr>
      <w:tr w:rsidR="006002A2" w:rsidRPr="009326B7" w:rsidTr="00A2341E">
        <w:tc>
          <w:tcPr>
            <w:tcW w:w="855" w:type="dxa"/>
          </w:tcPr>
          <w:p w:rsidR="006002A2" w:rsidRPr="009326B7" w:rsidRDefault="006002A2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6002A2" w:rsidRPr="009326B7" w:rsidRDefault="006002A2" w:rsidP="0099248D">
            <w:r w:rsidRPr="009326B7">
              <w:t>Какой порядок получения исполнительного листа?</w:t>
            </w:r>
          </w:p>
        </w:tc>
        <w:tc>
          <w:tcPr>
            <w:tcW w:w="4388" w:type="dxa"/>
          </w:tcPr>
          <w:p w:rsidR="006002A2" w:rsidRPr="009326B7" w:rsidRDefault="00607212" w:rsidP="00B17E31">
            <w:r w:rsidRPr="009326B7">
              <w:t xml:space="preserve">Решение Третейского суда подлежит немедленному исполнению сторонами. </w:t>
            </w:r>
            <w:r w:rsidR="006002A2" w:rsidRPr="009326B7">
              <w:t>По заявлению стороны третейского разбирательства</w:t>
            </w:r>
            <w:r w:rsidRPr="009326B7">
              <w:t>, в пользу которой вынесено решение, государственный суд выдает исполнительный лист на принудительное исполнение решения Третейского суда. Стороны вправе прямым соглашением установить порядок получения исполнительного листа в любом из регионов РФ</w:t>
            </w:r>
          </w:p>
        </w:tc>
      </w:tr>
      <w:tr w:rsidR="000D2485" w:rsidRPr="009326B7" w:rsidTr="00A2341E">
        <w:tc>
          <w:tcPr>
            <w:tcW w:w="855" w:type="dxa"/>
          </w:tcPr>
          <w:p w:rsidR="00A2341E" w:rsidRPr="009326B7" w:rsidRDefault="00A2341E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A2341E" w:rsidRPr="009326B7" w:rsidRDefault="00A2341E" w:rsidP="00C17053">
            <w:pPr>
              <w:autoSpaceDE w:val="0"/>
              <w:autoSpaceDN w:val="0"/>
              <w:adjustRightInd w:val="0"/>
              <w:jc w:val="both"/>
            </w:pPr>
            <w:r w:rsidRPr="009326B7">
              <w:t>Будет ли предусмотрен</w:t>
            </w:r>
            <w:r w:rsidR="00102D7F" w:rsidRPr="009326B7">
              <w:t>о право на обжалование решения Т</w:t>
            </w:r>
            <w:r w:rsidRPr="009326B7">
              <w:t>ретейского суда?</w:t>
            </w:r>
          </w:p>
          <w:p w:rsidR="00A2341E" w:rsidRPr="009326B7" w:rsidRDefault="00A2341E" w:rsidP="00C1705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4388" w:type="dxa"/>
          </w:tcPr>
          <w:p w:rsidR="00A2341E" w:rsidRPr="009326B7" w:rsidRDefault="00A2341E" w:rsidP="00102D7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Мы рекомендуем в огов</w:t>
            </w:r>
            <w:r w:rsidR="00102D7F" w:rsidRPr="009326B7">
              <w:rPr>
                <w:rFonts w:ascii="Calibri" w:eastAsia="Calibri" w:hAnsi="Calibri" w:cs="Times New Roman"/>
              </w:rPr>
              <w:t>орке писать о том, что решение Т</w:t>
            </w:r>
            <w:r w:rsidRPr="009326B7">
              <w:rPr>
                <w:rFonts w:ascii="Calibri" w:eastAsia="Calibri" w:hAnsi="Calibri" w:cs="Times New Roman"/>
              </w:rPr>
              <w:t xml:space="preserve">ретейского суда будет окончательным и обязательным для сторон. Это наиболее распространенная и </w:t>
            </w:r>
            <w:r w:rsidRPr="009326B7">
              <w:rPr>
                <w:rFonts w:ascii="Calibri" w:eastAsia="Calibri" w:hAnsi="Calibri" w:cs="Times New Roman"/>
              </w:rPr>
              <w:lastRenderedPageBreak/>
              <w:t>действенная практика. В этом случае обжалования не будет.</w:t>
            </w:r>
          </w:p>
        </w:tc>
      </w:tr>
      <w:tr w:rsidR="006002A2" w:rsidRPr="009326B7" w:rsidTr="00A2341E">
        <w:tc>
          <w:tcPr>
            <w:tcW w:w="855" w:type="dxa"/>
          </w:tcPr>
          <w:p w:rsidR="006002A2" w:rsidRPr="009326B7" w:rsidRDefault="006002A2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6002A2" w:rsidRPr="009326B7" w:rsidRDefault="006002A2" w:rsidP="00C17053">
            <w:pPr>
              <w:autoSpaceDE w:val="0"/>
              <w:autoSpaceDN w:val="0"/>
              <w:adjustRightInd w:val="0"/>
              <w:jc w:val="both"/>
            </w:pPr>
            <w:r w:rsidRPr="009326B7">
              <w:t>Есть ли возможность получить дополнительное решение или разъяснение?</w:t>
            </w:r>
          </w:p>
        </w:tc>
        <w:tc>
          <w:tcPr>
            <w:tcW w:w="4388" w:type="dxa"/>
          </w:tcPr>
          <w:p w:rsidR="006002A2" w:rsidRPr="009326B7" w:rsidRDefault="006002A2" w:rsidP="00102D7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rFonts w:ascii="Calibri" w:eastAsia="Calibri" w:hAnsi="Calibri" w:cs="Times New Roman"/>
              </w:rPr>
              <w:t>В случае, если часть требований стороны третейского разбирательства не нашла отражения в решении третейского суда, сторона вправе обратиться за дополнительным решением или за разъяснением такого решения. Срок подготовки вышеуказанных актов не превышает 10 дней.</w:t>
            </w:r>
          </w:p>
        </w:tc>
      </w:tr>
      <w:tr w:rsidR="00B04B77" w:rsidRPr="009326B7" w:rsidTr="00A2341E">
        <w:tc>
          <w:tcPr>
            <w:tcW w:w="855" w:type="dxa"/>
          </w:tcPr>
          <w:p w:rsidR="00B04B77" w:rsidRPr="009326B7" w:rsidRDefault="00B04B77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B04B77" w:rsidRPr="009326B7" w:rsidRDefault="006002A2" w:rsidP="00C17053">
            <w:pPr>
              <w:autoSpaceDE w:val="0"/>
              <w:autoSpaceDN w:val="0"/>
              <w:adjustRightInd w:val="0"/>
              <w:jc w:val="both"/>
            </w:pPr>
            <w:r w:rsidRPr="009326B7">
              <w:t>Д</w:t>
            </w:r>
            <w:r w:rsidR="00C0798F" w:rsidRPr="009326B7">
              <w:t xml:space="preserve">оступна </w:t>
            </w:r>
            <w:r w:rsidRPr="009326B7">
              <w:t xml:space="preserve">ли </w:t>
            </w:r>
            <w:r w:rsidR="00C0798F" w:rsidRPr="009326B7">
              <w:t>и</w:t>
            </w:r>
            <w:r w:rsidRPr="009326B7">
              <w:t>нформация о споре третьим лицам?</w:t>
            </w:r>
          </w:p>
        </w:tc>
        <w:tc>
          <w:tcPr>
            <w:tcW w:w="4388" w:type="dxa"/>
          </w:tcPr>
          <w:p w:rsidR="00B04B77" w:rsidRPr="009326B7" w:rsidRDefault="006002A2" w:rsidP="000D248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9326B7">
              <w:rPr>
                <w:shd w:val="clear" w:color="auto" w:fill="FFFFFF"/>
              </w:rPr>
              <w:t xml:space="preserve">Конфиденциальность третейского разбирательства повышенная. </w:t>
            </w:r>
            <w:r w:rsidR="000D2485" w:rsidRPr="009326B7">
              <w:rPr>
                <w:shd w:val="clear" w:color="auto" w:fill="FFFFFF"/>
              </w:rPr>
              <w:t>Слушание дела проходит в закрытом заседании, а сведения о рассматриваемом или рассмотренном споре не поступают в открытый доступ – КАД. По желанию сторон информация о споре может быть совершенно скрыта от третьих лиц либо, наоборот, раскрыта для них.</w:t>
            </w:r>
          </w:p>
        </w:tc>
      </w:tr>
      <w:tr w:rsidR="00A31FD3" w:rsidRPr="000D2485" w:rsidTr="00A2341E">
        <w:tc>
          <w:tcPr>
            <w:tcW w:w="855" w:type="dxa"/>
          </w:tcPr>
          <w:p w:rsidR="00A31FD3" w:rsidRPr="009326B7" w:rsidRDefault="00A31FD3" w:rsidP="000D248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111" w:type="dxa"/>
          </w:tcPr>
          <w:p w:rsidR="00A31FD3" w:rsidRPr="009326B7" w:rsidRDefault="0082112C" w:rsidP="00C17053">
            <w:pPr>
              <w:autoSpaceDE w:val="0"/>
              <w:autoSpaceDN w:val="0"/>
              <w:adjustRightInd w:val="0"/>
              <w:jc w:val="both"/>
            </w:pPr>
            <w:r w:rsidRPr="009326B7">
              <w:t>Будет ли распространяться</w:t>
            </w:r>
            <w:r w:rsidR="00A31FD3" w:rsidRPr="009326B7">
              <w:t xml:space="preserve"> третейская оговорка на членов некоммерческой организации</w:t>
            </w:r>
            <w:r w:rsidR="00D61905" w:rsidRPr="009326B7">
              <w:t xml:space="preserve"> (НКО)</w:t>
            </w:r>
            <w:r w:rsidRPr="009326B7">
              <w:t>, если она включена в</w:t>
            </w:r>
            <w:r w:rsidR="00D61905" w:rsidRPr="009326B7">
              <w:t xml:space="preserve"> устав НКО</w:t>
            </w:r>
            <w:r w:rsidR="00A31FD3" w:rsidRPr="009326B7">
              <w:t>?</w:t>
            </w:r>
          </w:p>
        </w:tc>
        <w:tc>
          <w:tcPr>
            <w:tcW w:w="4388" w:type="dxa"/>
          </w:tcPr>
          <w:p w:rsidR="00A31FD3" w:rsidRDefault="0082112C" w:rsidP="00D61905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326B7">
              <w:t>Споры между членам</w:t>
            </w:r>
            <w:r w:rsidR="00D61905" w:rsidRPr="009326B7">
              <w:t>и</w:t>
            </w:r>
            <w:r w:rsidRPr="009326B7">
              <w:t xml:space="preserve"> НКО, которые голосовали «ЗА» включение третейской оговорки, могут быть рассмотрены третейским судом. Кроме этого, в соответствии с ч. 4. Ст. 7 № 382-ФЗ «Об арбитраже (третейском разбирательстве) в РФ», если при подаче и</w:t>
            </w:r>
            <w:r w:rsidR="00402402" w:rsidRPr="009326B7">
              <w:t>скового заявления один из членов НКО</w:t>
            </w:r>
            <w:r w:rsidR="00D61905" w:rsidRPr="009326B7">
              <w:rPr>
                <w:iCs/>
              </w:rPr>
              <w:t xml:space="preserve"> заявляет о наличии третейской</w:t>
            </w:r>
            <w:r w:rsidR="00402402" w:rsidRPr="009326B7">
              <w:rPr>
                <w:iCs/>
              </w:rPr>
              <w:t xml:space="preserve"> оговорки в уставе НКО, а другой</w:t>
            </w:r>
            <w:r w:rsidR="00D61905" w:rsidRPr="009326B7">
              <w:rPr>
                <w:iCs/>
              </w:rPr>
              <w:t xml:space="preserve"> против этого не возражает и не заявляет, что спор не подведомственен третейскому суду, то спор может быть разрешен в третейском суде.</w:t>
            </w:r>
          </w:p>
        </w:tc>
      </w:tr>
    </w:tbl>
    <w:p w:rsidR="00E736FB" w:rsidRPr="000D2485" w:rsidRDefault="0099248D">
      <w:r w:rsidRPr="000D2485">
        <w:t xml:space="preserve"> </w:t>
      </w:r>
    </w:p>
    <w:sectPr w:rsidR="00E736FB" w:rsidRPr="000D2485" w:rsidSect="002C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521"/>
    <w:multiLevelType w:val="hybridMultilevel"/>
    <w:tmpl w:val="7EDE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5B7"/>
    <w:multiLevelType w:val="hybridMultilevel"/>
    <w:tmpl w:val="DA6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4299E"/>
    <w:multiLevelType w:val="hybridMultilevel"/>
    <w:tmpl w:val="ED6C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55E5"/>
    <w:multiLevelType w:val="hybridMultilevel"/>
    <w:tmpl w:val="2C52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17BB"/>
    <w:multiLevelType w:val="hybridMultilevel"/>
    <w:tmpl w:val="7EC0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B7E3D"/>
    <w:multiLevelType w:val="hybridMultilevel"/>
    <w:tmpl w:val="7EDE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2376D"/>
    <w:multiLevelType w:val="hybridMultilevel"/>
    <w:tmpl w:val="ED6C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0D"/>
    <w:rsid w:val="000042FD"/>
    <w:rsid w:val="0002010D"/>
    <w:rsid w:val="00034226"/>
    <w:rsid w:val="00051B0C"/>
    <w:rsid w:val="0009143F"/>
    <w:rsid w:val="000D2485"/>
    <w:rsid w:val="00102D7F"/>
    <w:rsid w:val="002C7322"/>
    <w:rsid w:val="003033A5"/>
    <w:rsid w:val="00353FD6"/>
    <w:rsid w:val="00402402"/>
    <w:rsid w:val="004F094A"/>
    <w:rsid w:val="00591572"/>
    <w:rsid w:val="005D20CD"/>
    <w:rsid w:val="005F7426"/>
    <w:rsid w:val="006002A2"/>
    <w:rsid w:val="00607212"/>
    <w:rsid w:val="0082112C"/>
    <w:rsid w:val="008632FE"/>
    <w:rsid w:val="00875B81"/>
    <w:rsid w:val="009326B7"/>
    <w:rsid w:val="0099248D"/>
    <w:rsid w:val="00A2341E"/>
    <w:rsid w:val="00A31FD3"/>
    <w:rsid w:val="00B04B77"/>
    <w:rsid w:val="00B169F9"/>
    <w:rsid w:val="00B17E31"/>
    <w:rsid w:val="00BE1059"/>
    <w:rsid w:val="00C0798F"/>
    <w:rsid w:val="00D61905"/>
    <w:rsid w:val="00DA6C0E"/>
    <w:rsid w:val="00E5717A"/>
    <w:rsid w:val="00E736FB"/>
    <w:rsid w:val="00EC05AC"/>
    <w:rsid w:val="00F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289CB-DBBE-4E94-AC71-B2F5E65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4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05A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9F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57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Р. Аргун</dc:creator>
  <cp:lastModifiedBy>User</cp:lastModifiedBy>
  <cp:revision>2</cp:revision>
  <cp:lastPrinted>2018-12-18T10:42:00Z</cp:lastPrinted>
  <dcterms:created xsi:type="dcterms:W3CDTF">2020-04-30T12:04:00Z</dcterms:created>
  <dcterms:modified xsi:type="dcterms:W3CDTF">2020-04-30T12:04:00Z</dcterms:modified>
</cp:coreProperties>
</file>